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color w:val="1E3A5F"/>
          <w:sz w:val="36"/>
          <w:szCs w:val="36"/>
        </w:rPr>
        <w:t xml:space="preserve">KEY USER TRAINING GUIDE</w:t>
      </w:r>
    </w:p>
    <w:p>
      <w:pPr>
        <w:spacing w:after="400"/>
        <w:jc w:val="center"/>
      </w:pPr>
      <w:r>
        <w:rPr>
          <w:color w:val="1A9B9E"/>
          <w:sz w:val="28"/>
          <w:szCs w:val="28"/>
        </w:rPr>
        <w:t xml:space="preserve">Microsoft Dynamics 365 Finance &amp; Operations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Document Information</w:t>
      </w:r>
    </w:p>
    <w:p>
      <w:pPr>
        <w:spacing w:after="200"/>
      </w:pPr>
      <w:r>
        <w:t xml:space="preserve">Module:</w:t>
      </w:r>
    </w:p>
    <w:p>
      <w:pPr>
        <w:spacing w:after="200"/>
      </w:pPr>
      <w:r>
        <w:rPr>
          <w:i/>
          <w:iCs/>
          <w:color w:val="1A9B9E"/>
        </w:rPr>
        <w:t xml:space="preserve">[Module Name]</w:t>
      </w:r>
    </w:p>
    <w:p>
      <w:pPr>
        <w:spacing w:after="200"/>
      </w:pPr>
      <w:r>
        <w:t xml:space="preserve">Process:</w:t>
      </w:r>
    </w:p>
    <w:p>
      <w:pPr>
        <w:spacing w:after="200"/>
      </w:pPr>
      <w:r>
        <w:rPr>
          <w:i/>
          <w:iCs/>
          <w:color w:val="1A9B9E"/>
        </w:rPr>
        <w:t xml:space="preserve">[Process Name]</w:t>
      </w:r>
    </w:p>
    <w:p>
      <w:pPr>
        <w:spacing w:after="200"/>
      </w:pPr>
      <w:r>
        <w:t xml:space="preserve">Version:</w:t>
      </w:r>
    </w:p>
    <w:p>
      <w:pPr>
        <w:spacing w:after="200"/>
      </w:pPr>
      <w:r>
        <w:rPr>
          <w:i/>
          <w:iCs/>
          <w:color w:val="1A9B9E"/>
        </w:rPr>
        <w:t xml:space="preserve">[1.0]</w:t>
      </w:r>
    </w:p>
    <w:p>
      <w:pPr>
        <w:spacing w:after="200"/>
      </w:pPr>
      <w:r>
        <w:t xml:space="preserve">Last Updated:</w:t>
      </w:r>
    </w:p>
    <w:p>
      <w:pPr>
        <w:spacing w:after="200"/>
      </w:pPr>
      <w:r>
        <w:rPr>
          <w:i/>
          <w:iCs/>
          <w:color w:val="1A9B9E"/>
        </w:rPr>
        <w:t xml:space="preserve">[Date]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1. Introduction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1.1 Purpose</w:t>
      </w:r>
    </w:p>
    <w:p>
      <w:pPr>
        <w:spacing w:after="200"/>
      </w:pPr>
      <w:r>
        <w:rPr>
          <w:i/>
          <w:iCs/>
          <w:color w:val="1A9B9E"/>
        </w:rPr>
        <w:t xml:space="preserve">[Purpose of this training guide]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1.2 Audience</w:t>
      </w:r>
    </w:p>
    <w:p>
      <w:pPr>
        <w:spacing w:after="200"/>
      </w:pPr>
      <w:r>
        <w:rPr>
          <w:i/>
          <w:iCs/>
          <w:color w:val="1A9B9E"/>
        </w:rPr>
        <w:t xml:space="preserve">[Target audience for this training]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1.3 Prerequisites</w:t>
      </w:r>
    </w:p>
    <w:p>
      <w:pPr>
        <w:spacing w:after="200"/>
      </w:pPr>
      <w:r>
        <w:rPr>
          <w:i/>
          <w:iCs/>
          <w:color w:val="1A9B9E"/>
        </w:rPr>
        <w:t xml:space="preserve">[Required knowledge or training]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2. Navigation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2.1 Accessing the Module</w:t>
      </w:r>
    </w:p>
    <w:p>
      <w:pPr>
        <w:spacing w:after="200"/>
      </w:pPr>
      <w:r>
        <w:rPr>
          <w:i/>
          <w:iCs/>
          <w:color w:val="1A9B9E"/>
        </w:rPr>
        <w:t xml:space="preserve">[Steps to navigate to the module]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2.2 Key Forms and Pages</w:t>
      </w:r>
    </w:p>
    <w:p>
      <w:pPr>
        <w:spacing w:after="200"/>
      </w:pPr>
      <w:r>
        <w:rPr>
          <w:i/>
          <w:iCs/>
          <w:color w:val="1A9B9E"/>
        </w:rPr>
        <w:t xml:space="preserve">[Overview of main forms]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3. Process Steps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3.1 Process Overview</w:t>
      </w:r>
    </w:p>
    <w:p>
      <w:pPr>
        <w:spacing w:after="200"/>
      </w:pPr>
      <w:r>
        <w:rPr>
          <w:i/>
          <w:iCs/>
          <w:color w:val="1A9B9E"/>
        </w:rPr>
        <w:t xml:space="preserve">[High-level process overview]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3.2 Step-by-Step Instructions</w:t>
      </w:r>
    </w:p>
    <w:p>
      <w:pPr>
        <w:spacing w:after="200"/>
      </w:pPr>
      <w:r>
        <w:rPr>
          <w:b/>
          <w:bCs/>
        </w:rPr>
        <w:t xml:space="preserve">Step 1:</w:t>
      </w:r>
    </w:p>
    <w:p>
      <w:pPr>
        <w:spacing w:after="200"/>
      </w:pPr>
      <w:r>
        <w:rPr>
          <w:i/>
          <w:iCs/>
          <w:color w:val="1A9B9E"/>
        </w:rPr>
        <w:t xml:space="preserve">[Instruction]</w:t>
      </w:r>
    </w:p>
    <w:p>
      <w:pPr>
        <w:spacing w:after="200"/>
      </w:pPr>
      <w:r>
        <w:rPr>
          <w:i/>
          <w:iCs/>
          <w:color w:val="1A9B9E"/>
        </w:rPr>
        <w:t xml:space="preserve">[Screenshot placeholder]</w:t>
      </w:r>
    </w:p>
    <w:p>
      <w:pPr>
        <w:spacing w:after="200"/>
      </w:pPr>
      <w:r>
        <w:rPr>
          <w:b/>
          <w:bCs/>
        </w:rPr>
        <w:t xml:space="preserve">Step 2:</w:t>
      </w:r>
    </w:p>
    <w:p>
      <w:pPr>
        <w:spacing w:after="200"/>
      </w:pPr>
      <w:r>
        <w:rPr>
          <w:i/>
          <w:iCs/>
          <w:color w:val="1A9B9E"/>
        </w:rPr>
        <w:t xml:space="preserve">[Instruction]</w:t>
      </w:r>
    </w:p>
    <w:p>
      <w:pPr>
        <w:spacing w:after="200"/>
      </w:pPr>
      <w:r>
        <w:rPr>
          <w:i/>
          <w:iCs/>
          <w:color w:val="1A9B9E"/>
        </w:rPr>
        <w:t xml:space="preserve">[Screenshot placeholder]</w:t>
      </w:r>
    </w:p>
    <w:p>
      <w:pPr>
        <w:spacing w:after="200"/>
      </w:pPr>
      <w:r>
        <w:rPr>
          <w:b/>
          <w:bCs/>
        </w:rPr>
        <w:t xml:space="preserve">Step 3:</w:t>
      </w:r>
    </w:p>
    <w:p>
      <w:pPr>
        <w:spacing w:after="200"/>
      </w:pPr>
      <w:r>
        <w:rPr>
          <w:i/>
          <w:iCs/>
          <w:color w:val="1A9B9E"/>
        </w:rPr>
        <w:t xml:space="preserve">[Instruction]</w:t>
      </w:r>
    </w:p>
    <w:p>
      <w:pPr>
        <w:spacing w:after="200"/>
      </w:pPr>
      <w:r>
        <w:rPr>
          <w:i/>
          <w:iCs/>
          <w:color w:val="1A9B9E"/>
        </w:rPr>
        <w:t xml:space="preserve">[Screenshot placeholder]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4. Tips and Best Practices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Tip 1:</w:t>
      </w:r>
    </w:p>
    <w:p>
      <w:pPr>
        <w:spacing w:after="200"/>
      </w:pPr>
      <w:r>
        <w:rPr>
          <w:i/>
          <w:iCs/>
          <w:color w:val="1A9B9E"/>
        </w:rPr>
        <w:t xml:space="preserve">[Best practice]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Tip 2:</w:t>
      </w:r>
    </w:p>
    <w:p>
      <w:pPr>
        <w:spacing w:after="200"/>
      </w:pPr>
      <w:r>
        <w:rPr>
          <w:i/>
          <w:iCs/>
          <w:color w:val="1A9B9E"/>
        </w:rPr>
        <w:t xml:space="preserve">[Best practice]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5. Common Issues and Solutions</w:t>
      </w:r>
    </w:p>
    <w:p>
      <w:pPr>
        <w:spacing w:after="200"/>
      </w:pPr>
      <w:r>
        <w:rPr>
          <w:b/>
          <w:bCs/>
        </w:rPr>
        <w:t xml:space="preserve">Issue 1:</w:t>
      </w:r>
    </w:p>
    <w:p>
      <w:pPr>
        <w:spacing w:after="200"/>
      </w:pPr>
      <w:r>
        <w:rPr>
          <w:i/>
          <w:iCs/>
          <w:color w:val="1A9B9E"/>
        </w:rPr>
        <w:t xml:space="preserve">[Issue description]</w:t>
      </w:r>
    </w:p>
    <w:p>
      <w:pPr>
        <w:spacing w:after="200"/>
      </w:pPr>
      <w:r>
        <w:t xml:space="preserve">Solution:</w:t>
      </w:r>
    </w:p>
    <w:p>
      <w:pPr>
        <w:spacing w:after="200"/>
      </w:pPr>
      <w:r>
        <w:rPr>
          <w:i/>
          <w:iCs/>
          <w:color w:val="1A9B9E"/>
        </w:rPr>
        <w:t xml:space="preserve">[Solution steps]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6. Exercises</w:t>
      </w:r>
    </w:p>
    <w:p>
      <w:pPr>
        <w:spacing w:after="200"/>
      </w:pPr>
      <w:r>
        <w:rPr>
          <w:b/>
          <w:bCs/>
        </w:rPr>
        <w:t xml:space="preserve">Exercise 1:</w:t>
      </w:r>
    </w:p>
    <w:p>
      <w:pPr>
        <w:spacing w:after="200"/>
      </w:pPr>
      <w:r>
        <w:rPr>
          <w:i/>
          <w:iCs/>
          <w:color w:val="1A9B9E"/>
        </w:rPr>
        <w:t xml:space="preserve">[Exercise description]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7. Quick Reference</w:t>
      </w:r>
    </w:p>
    <w:p>
      <w:pPr>
        <w:spacing w:after="200"/>
      </w:pPr>
      <w:r>
        <w:rPr>
          <w:i/>
          <w:iCs/>
          <w:color w:val="1A9B9E"/>
        </w:rPr>
        <w:t xml:space="preserve">[Quick reference card or summary]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8. Support</w:t>
      </w:r>
    </w:p>
    <w:p>
      <w:pPr>
        <w:spacing w:after="200"/>
      </w:pPr>
      <w:r>
        <w:t xml:space="preserve">For additional support, contact:</w:t>
      </w:r>
    </w:p>
    <w:p>
      <w:pPr>
        <w:spacing w:after="200"/>
      </w:pPr>
      <w:r>
        <w:rPr>
          <w:i/>
          <w:iCs/>
          <w:color w:val="1A9B9E"/>
        </w:rPr>
        <w:t xml:space="preserve">[Support contact information]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1F2937"/>
        <w:sz w:val="18"/>
        <w:szCs w:val="18"/>
      </w:rPr>
      <w:t xml:space="preserve">Dynamics Hub</w:t>
    </w:r>
    <w:r>
      <w:rPr>
        <w:color w:val="6B7280"/>
        <w:sz w:val="18"/>
        <w:szCs w:val="18"/>
      </w:rPr>
      <w:t xml:space="preserve">  |  www.dynamicshub.net  |  Page </w:t>
    </w:r>
    <w:r>
      <w:fldChar w:fldCharType="begin"/>
      <w:instrText xml:space="preserve">PAGE</w:instrText>
      <w:fldChar w:fldCharType="separate"/>
      <w:fldChar w:fldCharType="end"/>
    </w:r>
    <w:r>
      <w:rPr>
        <w:sz w:val="18"/>
        <w:szCs w:val="18"/>
      </w:rP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100"/>
      <w:gridCol w:w="100"/>
    </w:tblGrid>
    <w:tr>
      <w:tc>
        <w:tcPr>
          <w:tcW w:type="pct" w:w="5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</w:tcPr>
        <w:p>
          <w:pPr>
            <w:jc w:val="left"/>
          </w:pPr>
          <w:r>
            <w:drawing>
              <wp:inline distT="0" distB="0" distL="0" distR="0">
                <wp:extent cx="1333500" cy="4000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400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pct" w:w="5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40"/>
            <w:jc w:val="right"/>
          </w:pPr>
          <w:r>
            <w:rPr>
              <w:b/>
              <w:bCs/>
              <w:color w:val="1E3A5F"/>
              <w:sz w:val="22"/>
              <w:szCs w:val="22"/>
            </w:rPr>
            <w:t xml:space="preserve">Where Dynamics Connects</w:t>
          </w:r>
        </w:p>
        <w:p>
          <w:pPr>
            <w:jc w:val="right"/>
          </w:pPr>
          <w:r>
            <w:rPr>
              <w:color w:val="1A9B9E"/>
              <w:sz w:val="18"/>
              <w:szCs w:val="18"/>
            </w:rPr>
            <w:t xml:space="preserve">info@dynamicshub.net | www.dynamicshub.net</w:t>
          </w:r>
        </w:p>
      </w:tc>
    </w:tr>
  </w:tbl>
  <w:p>
    <w:pPr>
      <w:pBdr>
        <w:bottom w:val="single" w:color="1A9B9E" w:sz="12" w:space="1"/>
      </w:pBdr>
      <w:spacing w:before="100" w:after="2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786c2bec88f114251f5e7867d395c75df6d89fb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2026-10-17T14:47:40.625Z</dcterms:created>
  <dcterms:modified xsi:type="dcterms:W3CDTF">2026-10-17T14:47:40.625Z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