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KEY USER TRAINING GUIDE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Finance &amp; Operations</w:t>
      </w:r>
    </w:p>
    <w:p>
      <w:pPr>
        <w:pStyle w:val="Heading1"/>
        <w:pStyle w:val="Heading1"/>
        <w:spacing w:before="400" w:after="200"/>
      </w:pPr>
      <w:r>
        <w:t xml:space="preserve">Document Information</w:t>
      </w:r>
    </w:p>
    <w:p>
      <w:pPr>
        <w:spacing w:after="200"/>
      </w:pPr>
      <w:r>
        <w:t xml:space="preserve">Module:</w:t>
      </w:r>
    </w:p>
    <w:p>
      <w:pPr>
        <w:spacing w:after="200"/>
      </w:pPr>
      <w:r>
        <w:rPr>
          <w:i/>
          <w:iCs/>
          <w:color w:val="00a99d"/>
        </w:rPr>
        <w:t xml:space="preserve">[Module Name]</w:t>
      </w:r>
    </w:p>
    <w:p>
      <w:pPr>
        <w:spacing w:after="200"/>
      </w:pPr>
      <w:r>
        <w:t xml:space="preserve">Process:</w:t>
      </w:r>
    </w:p>
    <w:p>
      <w:pPr>
        <w:spacing w:after="200"/>
      </w:pPr>
      <w:r>
        <w:rPr>
          <w:i/>
          <w:iCs/>
          <w:color w:val="00a99d"/>
        </w:rPr>
        <w:t xml:space="preserve">[Process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Last Updated: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Introduction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[Purpose of this training guide]</w:t>
      </w:r>
    </w:p>
    <w:p>
      <w:pPr>
        <w:pStyle w:val="Heading2"/>
        <w:pStyle w:val="Heading2"/>
        <w:spacing w:before="400" w:after="200"/>
      </w:pPr>
      <w:r>
        <w:t xml:space="preserve">1.2 Audience</w:t>
      </w:r>
    </w:p>
    <w:p>
      <w:pPr>
        <w:spacing w:after="200"/>
      </w:pPr>
      <w:r>
        <w:rPr>
          <w:i/>
          <w:iCs/>
          <w:color w:val="00a99d"/>
        </w:rPr>
        <w:t xml:space="preserve">[Target audience for this training]</w:t>
      </w:r>
    </w:p>
    <w:p>
      <w:pPr>
        <w:pStyle w:val="Heading2"/>
        <w:pStyle w:val="Heading2"/>
        <w:spacing w:before="400" w:after="200"/>
      </w:pPr>
      <w:r>
        <w:t xml:space="preserve">1.3 Prerequisites</w:t>
      </w:r>
    </w:p>
    <w:p>
      <w:pPr>
        <w:spacing w:after="200"/>
      </w:pPr>
      <w:r>
        <w:rPr>
          <w:i/>
          <w:iCs/>
          <w:color w:val="00a99d"/>
        </w:rPr>
        <w:t xml:space="preserve">[Required knowledge or training]</w:t>
      </w:r>
    </w:p>
    <w:p>
      <w:pPr>
        <w:pStyle w:val="Heading1"/>
        <w:pStyle w:val="Heading1"/>
        <w:spacing w:before="400" w:after="200"/>
      </w:pPr>
      <w:r>
        <w:t xml:space="preserve">2. Navigation</w:t>
      </w:r>
    </w:p>
    <w:p>
      <w:pPr>
        <w:pStyle w:val="Heading2"/>
        <w:pStyle w:val="Heading2"/>
        <w:spacing w:before="400" w:after="200"/>
      </w:pPr>
      <w:r>
        <w:t xml:space="preserve">2.1 Accessing the Module</w:t>
      </w:r>
    </w:p>
    <w:p>
      <w:pPr>
        <w:spacing w:after="200"/>
      </w:pPr>
      <w:r>
        <w:rPr>
          <w:i/>
          <w:iCs/>
          <w:color w:val="00a99d"/>
        </w:rPr>
        <w:t xml:space="preserve">[Steps to navigate to the module]</w:t>
      </w:r>
    </w:p>
    <w:p>
      <w:pPr>
        <w:pStyle w:val="Heading2"/>
        <w:pStyle w:val="Heading2"/>
        <w:spacing w:before="400" w:after="200"/>
      </w:pPr>
      <w:r>
        <w:t xml:space="preserve">2.2 Key Forms and Pages</w:t>
      </w:r>
    </w:p>
    <w:p>
      <w:pPr>
        <w:spacing w:after="200"/>
      </w:pPr>
      <w:r>
        <w:rPr>
          <w:i/>
          <w:iCs/>
          <w:color w:val="00a99d"/>
        </w:rPr>
        <w:t xml:space="preserve">[Overview of main forms]</w:t>
      </w:r>
    </w:p>
    <w:p>
      <w:pPr>
        <w:pStyle w:val="Heading1"/>
        <w:pStyle w:val="Heading1"/>
        <w:spacing w:before="400" w:after="200"/>
      </w:pPr>
      <w:r>
        <w:t xml:space="preserve">3. Process Steps</w:t>
      </w:r>
    </w:p>
    <w:p>
      <w:pPr>
        <w:pStyle w:val="Heading2"/>
        <w:pStyle w:val="Heading2"/>
        <w:spacing w:before="400" w:after="200"/>
      </w:pPr>
      <w:r>
        <w:t xml:space="preserve">3.1 Process Overview</w:t>
      </w:r>
    </w:p>
    <w:p>
      <w:pPr>
        <w:spacing w:after="200"/>
      </w:pPr>
      <w:r>
        <w:rPr>
          <w:i/>
          <w:iCs/>
          <w:color w:val="00a99d"/>
        </w:rPr>
        <w:t xml:space="preserve">[High-level process overview]</w:t>
      </w:r>
    </w:p>
    <w:p>
      <w:pPr>
        <w:pStyle w:val="Heading2"/>
        <w:pStyle w:val="Heading2"/>
        <w:spacing w:before="400" w:after="200"/>
      </w:pPr>
      <w:r>
        <w:t xml:space="preserve">3.2 Step-by-Step Instructions</w:t>
      </w:r>
    </w:p>
    <w:p>
      <w:pPr>
        <w:spacing w:after="200"/>
      </w:pPr>
      <w:r>
        <w:rPr>
          <w:b/>
          <w:bCs/>
        </w:rPr>
        <w:t xml:space="preserve">Step 1: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spacing w:after="200"/>
      </w:pPr>
      <w:r>
        <w:rPr>
          <w:b/>
          <w:bCs/>
        </w:rPr>
        <w:t xml:space="preserve">Step 2: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spacing w:after="200"/>
      </w:pPr>
      <w:r>
        <w:rPr>
          <w:b/>
          <w:bCs/>
        </w:rPr>
        <w:t xml:space="preserve">Step 3: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pStyle w:val="Heading1"/>
        <w:pStyle w:val="Heading1"/>
        <w:spacing w:before="400" w:after="200"/>
      </w:pPr>
      <w:r>
        <w:t xml:space="preserve">4. Tips and Best Practices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Tip 1:</w:t>
      </w:r>
    </w:p>
    <w:p>
      <w:pPr>
        <w:spacing w:after="200"/>
      </w:pPr>
      <w:r>
        <w:rPr>
          <w:i/>
          <w:iCs/>
          <w:color w:val="00a99d"/>
        </w:rPr>
        <w:t xml:space="preserve">[Best practice]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Tip 2:</w:t>
      </w:r>
    </w:p>
    <w:p>
      <w:pPr>
        <w:spacing w:after="200"/>
      </w:pPr>
      <w:r>
        <w:rPr>
          <w:i/>
          <w:iCs/>
          <w:color w:val="00a99d"/>
        </w:rPr>
        <w:t xml:space="preserve">[Best practice]</w:t>
      </w:r>
    </w:p>
    <w:p>
      <w:pPr>
        <w:pStyle w:val="Heading1"/>
        <w:pStyle w:val="Heading1"/>
        <w:spacing w:before="400" w:after="200"/>
      </w:pPr>
      <w:r>
        <w:t xml:space="preserve">5. Common Issues and Solutions</w:t>
      </w:r>
    </w:p>
    <w:p>
      <w:pPr>
        <w:spacing w:after="200"/>
      </w:pPr>
      <w:r>
        <w:rPr>
          <w:b/>
          <w:bCs/>
        </w:rPr>
        <w:t xml:space="preserve">Issue 1:</w:t>
      </w:r>
    </w:p>
    <w:p>
      <w:pPr>
        <w:spacing w:after="200"/>
      </w:pPr>
      <w:r>
        <w:rPr>
          <w:i/>
          <w:iCs/>
          <w:color w:val="00a99d"/>
        </w:rPr>
        <w:t xml:space="preserve">[Issue description]</w:t>
      </w:r>
    </w:p>
    <w:p>
      <w:pPr>
        <w:spacing w:after="200"/>
      </w:pPr>
      <w:r>
        <w:t xml:space="preserve">Solution:</w:t>
      </w:r>
    </w:p>
    <w:p>
      <w:pPr>
        <w:spacing w:after="200"/>
      </w:pPr>
      <w:r>
        <w:rPr>
          <w:i/>
          <w:iCs/>
          <w:color w:val="00a99d"/>
        </w:rPr>
        <w:t xml:space="preserve">[Solution steps]</w:t>
      </w:r>
    </w:p>
    <w:p>
      <w:pPr>
        <w:pStyle w:val="Heading1"/>
        <w:pStyle w:val="Heading1"/>
        <w:spacing w:before="400" w:after="200"/>
      </w:pPr>
      <w:r>
        <w:t xml:space="preserve">6. Exercises</w:t>
      </w:r>
    </w:p>
    <w:p>
      <w:pPr>
        <w:spacing w:after="200"/>
      </w:pPr>
      <w:r>
        <w:rPr>
          <w:b/>
          <w:bCs/>
        </w:rPr>
        <w:t xml:space="preserve">Exercise 1:</w:t>
      </w:r>
    </w:p>
    <w:p>
      <w:pPr>
        <w:spacing w:after="200"/>
      </w:pPr>
      <w:r>
        <w:rPr>
          <w:i/>
          <w:iCs/>
          <w:color w:val="00a99d"/>
        </w:rPr>
        <w:t xml:space="preserve">[Exercise description]</w:t>
      </w:r>
    </w:p>
    <w:p>
      <w:pPr>
        <w:pStyle w:val="Heading1"/>
        <w:pStyle w:val="Heading1"/>
        <w:spacing w:before="400" w:after="200"/>
      </w:pPr>
      <w:r>
        <w:t xml:space="preserve">7. Quick Reference</w:t>
      </w:r>
    </w:p>
    <w:p>
      <w:pPr>
        <w:spacing w:after="200"/>
      </w:pPr>
      <w:r>
        <w:rPr>
          <w:i/>
          <w:iCs/>
          <w:color w:val="00a99d"/>
        </w:rPr>
        <w:t xml:space="preserve">[Quick reference card or summary]</w:t>
      </w:r>
    </w:p>
    <w:p>
      <w:pPr>
        <w:pStyle w:val="Heading1"/>
        <w:pStyle w:val="Heading1"/>
        <w:spacing w:before="400" w:after="200"/>
      </w:pPr>
      <w:r>
        <w:t xml:space="preserve">8. Support</w:t>
      </w:r>
    </w:p>
    <w:p>
      <w:pPr>
        <w:spacing w:after="200"/>
      </w:pPr>
      <w:r>
        <w:t xml:space="preserve">For additional support, contact:</w:t>
      </w:r>
    </w:p>
    <w:p>
      <w:pPr>
        <w:spacing w:after="200"/>
      </w:pPr>
      <w:r>
        <w:rPr>
          <w:i/>
          <w:iCs/>
          <w:color w:val="00a99d"/>
        </w:rPr>
        <w:t xml:space="preserve">[Support contact information]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2026-04-16T18:16:20.963Z</dcterms:created>
  <dcterms:modified xsi:type="dcterms:W3CDTF">2026-04-16T18:16:20.963Z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